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93C0" w14:textId="0832004A" w:rsidR="00C6681B" w:rsidRPr="00C6681B" w:rsidRDefault="00C6681B" w:rsidP="00481B4C">
      <w:pPr>
        <w:rPr>
          <w:rFonts w:ascii="Calibri" w:eastAsia="Times New Roman" w:hAnsi="Calibri" w:cs="Times New Roman"/>
          <w:b/>
          <w:color w:val="327A86"/>
          <w:sz w:val="28"/>
          <w:szCs w:val="28"/>
          <w:lang w:val="en-US" w:eastAsia="de-DE"/>
        </w:rPr>
      </w:pPr>
      <w:r w:rsidRPr="00C6681B">
        <w:rPr>
          <w:rFonts w:ascii="Calibri" w:eastAsia="Times New Roman" w:hAnsi="Calibri" w:cs="Times New Roman"/>
          <w:b/>
          <w:color w:val="327A86"/>
          <w:sz w:val="28"/>
          <w:szCs w:val="28"/>
          <w:lang w:val="en-US" w:eastAsia="de-DE"/>
        </w:rPr>
        <w:t xml:space="preserve">Literatur zum DZLM-Modul </w:t>
      </w:r>
      <w:r w:rsidRPr="00C6681B">
        <w:rPr>
          <w:rFonts w:ascii="Calibri" w:eastAsia="Times New Roman" w:hAnsi="Calibri" w:cs="Times New Roman"/>
          <w:b/>
          <w:color w:val="327A86"/>
          <w:sz w:val="28"/>
          <w:szCs w:val="28"/>
          <w:lang w:val="en-US" w:eastAsia="de-DE"/>
        </w:rPr>
        <w:br/>
        <w:t>Digitale Werkzeuge im mathematikunterricht der Sekundarstufe</w:t>
      </w:r>
    </w:p>
    <w:p w14:paraId="02D5F3B6" w14:textId="77777777" w:rsidR="00C6681B" w:rsidRDefault="00C6681B" w:rsidP="00481B4C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</w:p>
    <w:p w14:paraId="318813B9" w14:textId="28905E9A" w:rsidR="00DF48B9" w:rsidRPr="00E85829" w:rsidRDefault="00DF48B9" w:rsidP="00481B4C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Artigue, M. (2004). The integration of computer technologies in secondary mathematics education. In: W. Jianpan et al. (Hrsg.), Trends and challenges in mathematics education (S. 209–222). Shanghai: East China Normal University Press.</w:t>
      </w:r>
    </w:p>
    <w:p w14:paraId="0B30F5F1" w14:textId="77777777" w:rsidR="004844B5" w:rsidRPr="00E85829" w:rsidRDefault="004844B5" w:rsidP="00481B4C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</w:p>
    <w:p w14:paraId="4FDA3D11" w14:textId="68EB24BC" w:rsidR="00C06210" w:rsidRPr="002F0239" w:rsidRDefault="00C06210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Ball, L. &amp; Stacey, K. (2005). Good CAS written records: Insight from teachers. In H. L. Chick &amp; J. L. Vincent (Hrsg.), Proceedings of the 29th Conference of the International Group for the Psychology of Mathematics Education</w:t>
      </w:r>
      <w:r w:rsidR="009D7800"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 xml:space="preserve"> (Bd. 2, S. 113–120). </w:t>
      </w:r>
      <w:r w:rsidR="009D7800" w:rsidRPr="002F0239">
        <w:rPr>
          <w:rFonts w:ascii="Calibri" w:eastAsia="Times New Roman" w:hAnsi="Calibri" w:cs="Times New Roman"/>
          <w:color w:val="000000" w:themeColor="text1"/>
          <w:lang w:eastAsia="de-DE"/>
        </w:rPr>
        <w:t>Melbourne: PME.</w:t>
      </w:r>
    </w:p>
    <w:p w14:paraId="6814C260" w14:textId="77777777" w:rsidR="007D17CE" w:rsidRPr="002F0239" w:rsidRDefault="007D17CE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7F71DCC6" w14:textId="7E2A9EC5" w:rsidR="007D17CE" w:rsidRPr="002F0239" w:rsidRDefault="007D17CE" w:rsidP="00481B4C">
      <w:pPr>
        <w:rPr>
          <w:rFonts w:ascii="Calibri" w:hAnsi="Calibri" w:cs="Times New Roman"/>
          <w:color w:val="000000" w:themeColor="text1"/>
          <w:lang w:eastAsia="de-DE"/>
        </w:rPr>
      </w:pPr>
      <w:r w:rsidRPr="007D17CE">
        <w:rPr>
          <w:rFonts w:ascii="Calibri" w:hAnsi="Calibri" w:cs="Times New Roman"/>
          <w:color w:val="000000" w:themeColor="text1"/>
          <w:lang w:eastAsia="de-DE"/>
        </w:rPr>
        <w:t xml:space="preserve">Barzel, B. (2000). Bilder schaffen mit Graphen. </w:t>
      </w:r>
      <w:r w:rsidR="00865AFC" w:rsidRPr="002F0239">
        <w:rPr>
          <w:rFonts w:ascii="Calibri" w:hAnsi="Calibri" w:cs="Times New Roman"/>
          <w:i/>
          <w:iCs/>
          <w:color w:val="000000" w:themeColor="text1"/>
          <w:lang w:eastAsia="de-DE"/>
        </w:rPr>
        <w:t>Mathematik L</w:t>
      </w:r>
      <w:r w:rsidRPr="007D17CE">
        <w:rPr>
          <w:rFonts w:ascii="Calibri" w:hAnsi="Calibri" w:cs="Times New Roman"/>
          <w:i/>
          <w:iCs/>
          <w:color w:val="000000" w:themeColor="text1"/>
          <w:lang w:eastAsia="de-DE"/>
        </w:rPr>
        <w:t>ehren</w:t>
      </w:r>
      <w:r w:rsidRPr="007D17CE">
        <w:rPr>
          <w:rFonts w:ascii="Calibri" w:hAnsi="Calibri" w:cs="Times New Roman"/>
          <w:color w:val="000000" w:themeColor="text1"/>
          <w:lang w:eastAsia="de-DE"/>
        </w:rPr>
        <w:t>, Heft 102, 12– 15.</w:t>
      </w:r>
    </w:p>
    <w:p w14:paraId="7A62927B" w14:textId="2E32920D" w:rsidR="00C53B79" w:rsidRDefault="003E218F" w:rsidP="00C53B79">
      <w:pPr>
        <w:pStyle w:val="berschrift1"/>
        <w:shd w:val="clear" w:color="auto" w:fill="FFFFFF"/>
        <w:spacing w:after="128" w:afterAutospacing="0"/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</w:pPr>
      <w:r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>Barzel, B., Hußmann &amp;</w:t>
      </w:r>
      <w:r w:rsidR="00C53B79" w:rsidRPr="00C53B7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 xml:space="preserve"> S., Leuders, T. (2005)</w:t>
      </w:r>
      <w:r w:rsidR="00C53B7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>.</w:t>
      </w:r>
      <w:r w:rsidR="00C53B79" w:rsidRPr="00C53B7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 xml:space="preserve"> Computer, Internet &amp; Co. im Mathematik-Unterricht</w:t>
      </w:r>
      <w:r w:rsidR="00C53B7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 xml:space="preserve">., </w:t>
      </w:r>
      <w:r w:rsidR="00B5720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 xml:space="preserve">Berlin: </w:t>
      </w:r>
      <w:r w:rsidR="00C53B7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>Cornelsen</w:t>
      </w:r>
      <w:r w:rsidR="00B57209">
        <w:rPr>
          <w:rFonts w:ascii="Calibri" w:eastAsia="Times New Roman" w:hAnsi="Calibri"/>
          <w:b w:val="0"/>
          <w:bCs w:val="0"/>
          <w:color w:val="000000" w:themeColor="text1"/>
          <w:kern w:val="0"/>
          <w:sz w:val="24"/>
          <w:szCs w:val="24"/>
        </w:rPr>
        <w:t>, 29-33.</w:t>
      </w:r>
    </w:p>
    <w:p w14:paraId="410DEE0B" w14:textId="77777777" w:rsidR="00C53B79" w:rsidRDefault="00313AF9" w:rsidP="00C53B79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C53B79">
        <w:rPr>
          <w:rFonts w:ascii="Calibri" w:eastAsia="Times New Roman" w:hAnsi="Calibri" w:cs="Times New Roman"/>
          <w:color w:val="000000" w:themeColor="text1"/>
          <w:lang w:eastAsia="de-DE"/>
        </w:rPr>
        <w:t>Barzel, B. (2012). Computeralgebra im Mathematikunterricht: Ein Mehrwe</w:t>
      </w:r>
      <w:r w:rsidR="00C53B79" w:rsidRPr="00C53B79">
        <w:rPr>
          <w:rFonts w:ascii="Calibri" w:eastAsia="Times New Roman" w:hAnsi="Calibri" w:cs="Times New Roman"/>
          <w:color w:val="000000" w:themeColor="text1"/>
          <w:lang w:eastAsia="de-DE"/>
        </w:rPr>
        <w:t>rt – aber wann? Münster: Waxmann</w:t>
      </w:r>
    </w:p>
    <w:p w14:paraId="0666939B" w14:textId="77777777" w:rsidR="00C53B79" w:rsidRPr="00C53B79" w:rsidRDefault="00C53B79" w:rsidP="00C53B79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6AFE8924" w14:textId="4E71FF93" w:rsidR="00214BA2" w:rsidRPr="00C53B79" w:rsidRDefault="00214BA2" w:rsidP="00C53B79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Barze</w:t>
      </w:r>
      <w:r w:rsidR="00A37BEA" w:rsidRPr="002F0239">
        <w:rPr>
          <w:rFonts w:ascii="Calibri" w:eastAsia="Times New Roman" w:hAnsi="Calibri" w:cs="Times New Roman"/>
          <w:color w:val="000000" w:themeColor="text1"/>
          <w:lang w:eastAsia="de-DE"/>
        </w:rPr>
        <w:t>l, B. &amp; Greefrath, G. (2015). Digitale Mathematikwerkzeuge sinnvoll integrieren. In W. Blum, S. Vogel, C. Drüke-Noe &amp; A. Roppelt (Hrsg.), Bildungsstandards aktuell: Mathematik in der Sekundarstufe II (S. 145–157). Braunschweig: Diesterweg Schroedel Westermann.</w:t>
      </w:r>
    </w:p>
    <w:p w14:paraId="346F842A" w14:textId="77777777" w:rsidR="00561F70" w:rsidRPr="002F0239" w:rsidRDefault="00561F70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352E21DD" w14:textId="5C328B1C" w:rsidR="00561F70" w:rsidRPr="002F0239" w:rsidRDefault="00561F70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Bichler, E. (2010). Explorative Studie zum langfristigen Taschencomputereinsatz im Mathematikunterricht: Der Modellversuch Medienintegratio</w:t>
      </w:r>
      <w:r w:rsidR="007E4705">
        <w:rPr>
          <w:rFonts w:ascii="Calibri" w:eastAsia="Times New Roman" w:hAnsi="Calibri" w:cs="Times New Roman"/>
          <w:color w:val="000000" w:themeColor="text1"/>
          <w:lang w:eastAsia="de-DE"/>
        </w:rPr>
        <w:t>n im Mathematikunterricht (M</w:t>
      </w:r>
      <w:r w:rsidR="007E4705" w:rsidRPr="007E4705">
        <w:rPr>
          <w:rFonts w:ascii="Calibri" w:eastAsia="Times New Roman" w:hAnsi="Calibri" w:cs="Times New Roman"/>
          <w:color w:val="000000" w:themeColor="text1"/>
          <w:vertAlign w:val="superscript"/>
          <w:lang w:eastAsia="de-DE"/>
        </w:rPr>
        <w:t>3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) am Gymnasium</w:t>
      </w:r>
      <w:r w:rsidR="00613C5B" w:rsidRPr="002F0239">
        <w:rPr>
          <w:rFonts w:ascii="Calibri" w:eastAsia="Times New Roman" w:hAnsi="Calibri" w:cs="Times New Roman"/>
          <w:color w:val="000000" w:themeColor="text1"/>
          <w:lang w:eastAsia="de-DE"/>
        </w:rPr>
        <w:t>. Hamburg: Verlag Dr. Kovac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.</w:t>
      </w:r>
    </w:p>
    <w:p w14:paraId="44B032BC" w14:textId="77777777" w:rsidR="00473BB5" w:rsidRPr="002F0239" w:rsidRDefault="00473BB5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7DC903B3" w14:textId="2C6CF6A1" w:rsidR="00473BB5" w:rsidRDefault="00473BB5" w:rsidP="00473BB5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Biehler, R., &amp; Maxara, C. (2007). Integration von stochastischer Simulation in den Stochastikunterricht mit Hilfe von Werkzeugsoftware. Mathematikunterricht, 53(3), 46-62.</w:t>
      </w:r>
    </w:p>
    <w:p w14:paraId="07B15456" w14:textId="77777777" w:rsidR="00940CD8" w:rsidRDefault="00940CD8" w:rsidP="00940CD8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33A6E551" w14:textId="084BB361" w:rsidR="00940CD8" w:rsidRPr="00940CD8" w:rsidRDefault="00940CD8" w:rsidP="00940CD8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940CD8">
        <w:rPr>
          <w:rFonts w:ascii="Calibri" w:eastAsia="Times New Roman" w:hAnsi="Calibri" w:cs="Times New Roman"/>
          <w:color w:val="000000" w:themeColor="text1"/>
          <w:lang w:eastAsia="de-DE"/>
        </w:rPr>
        <w:t>Blum, W. &amp; Leiß, D. (2005). „Modellieren im Unterricht mit der „Tanken“- Aufgabe“. In: mat</w:t>
      </w:r>
      <w:r w:rsidR="005B75F8">
        <w:rPr>
          <w:rFonts w:ascii="Calibri" w:eastAsia="Times New Roman" w:hAnsi="Calibri" w:cs="Times New Roman"/>
          <w:color w:val="000000" w:themeColor="text1"/>
          <w:lang w:eastAsia="de-DE"/>
        </w:rPr>
        <w:t>hematik lehren, Heft 128, S. 18</w:t>
      </w:r>
      <w:r w:rsidR="005B75F8">
        <w:rPr>
          <w:rFonts w:ascii="Calibri" w:eastAsia="Times New Roman" w:hAnsi="Calibri" w:cs="Times New Roman"/>
          <w:color w:val="000000" w:themeColor="text1"/>
          <w:lang w:eastAsia="de-DE"/>
        </w:rPr>
        <w:softHyphen/>
        <w:t>–</w:t>
      </w:r>
      <w:r w:rsidRPr="00940CD8">
        <w:rPr>
          <w:rFonts w:ascii="Calibri" w:eastAsia="Times New Roman" w:hAnsi="Calibri" w:cs="Times New Roman"/>
          <w:color w:val="000000" w:themeColor="text1"/>
          <w:lang w:eastAsia="de-DE"/>
        </w:rPr>
        <w:t xml:space="preserve">21. </w:t>
      </w:r>
    </w:p>
    <w:p w14:paraId="4C8C61E7" w14:textId="77777777" w:rsidR="00DF0C37" w:rsidRPr="002F0239" w:rsidRDefault="00DF0C37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4094B608" w14:textId="2E487616" w:rsidR="00DF0C37" w:rsidRPr="002F0239" w:rsidRDefault="00DF0C37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Böer, H. (1993). Extremwertproblem Milchtüte</w:t>
      </w:r>
      <w:r w:rsidR="00AF2072" w:rsidRPr="002F0239">
        <w:rPr>
          <w:rFonts w:ascii="Calibri" w:eastAsia="Times New Roman" w:hAnsi="Calibri" w:cs="Times New Roman"/>
          <w:color w:val="000000" w:themeColor="text1"/>
          <w:lang w:eastAsia="de-DE"/>
        </w:rPr>
        <w:t>: Eine tatsächliche Problemstellung aktueller industrieller Massenproduktion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. In W. Blum (Hrsg.): Anwendungen und Modellbildung im Mathematikunterricht</w:t>
      </w:r>
      <w:r w:rsidR="00AF2072"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 (S. 1–16)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. Hildesheim: Franzbecker.</w:t>
      </w:r>
    </w:p>
    <w:p w14:paraId="656AE419" w14:textId="77777777" w:rsidR="00313AF9" w:rsidRPr="002F0239" w:rsidRDefault="00313AF9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7413D9BA" w14:textId="1BF546A7" w:rsidR="00481B4C" w:rsidRDefault="00481B4C" w:rsidP="00481B4C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  <w:r w:rsidRPr="00481B4C">
        <w:rPr>
          <w:rFonts w:ascii="Calibri" w:eastAsia="Times New Roman" w:hAnsi="Calibri" w:cs="Times New Roman"/>
          <w:color w:val="000000" w:themeColor="text1"/>
          <w:lang w:eastAsia="de-DE"/>
        </w:rPr>
        <w:t xml:space="preserve">Bonsen, M., &amp; Hübner, C. (2012). Unterrichtsentwicklung in Professionellen Lerngemeinschaften. In K.-O. Bauer &amp; J. Logemann (Hrsg.), Effektive Bildung (S. 55–76). </w:t>
      </w: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Münster: Waxmann</w:t>
      </w:r>
      <w:r w:rsidR="0036696F">
        <w:rPr>
          <w:rFonts w:ascii="Calibri" w:eastAsia="Times New Roman" w:hAnsi="Calibri" w:cs="Times New Roman"/>
          <w:color w:val="000000" w:themeColor="text1"/>
          <w:lang w:val="en-US" w:eastAsia="de-DE"/>
        </w:rPr>
        <w:t>.</w:t>
      </w:r>
    </w:p>
    <w:p w14:paraId="177C3322" w14:textId="77777777" w:rsidR="0036696F" w:rsidRDefault="0036696F" w:rsidP="00481B4C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</w:p>
    <w:p w14:paraId="12C262CA" w14:textId="04177B80" w:rsidR="0036696F" w:rsidRPr="0036696F" w:rsidRDefault="0036696F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36696F">
        <w:rPr>
          <w:rFonts w:ascii="Calibri" w:eastAsia="Times New Roman" w:hAnsi="Calibri" w:cs="Times New Roman"/>
          <w:color w:val="000000" w:themeColor="text1"/>
          <w:lang w:eastAsia="de-DE"/>
        </w:rPr>
        <w:t>Büchter, A. (2008). Funktionale Zusammenhänge erkunden. ma</w:t>
      </w:r>
      <w:r w:rsidR="00C6681B">
        <w:rPr>
          <w:rFonts w:ascii="Calibri" w:eastAsia="Times New Roman" w:hAnsi="Calibri" w:cs="Times New Roman"/>
          <w:color w:val="000000" w:themeColor="text1"/>
          <w:lang w:eastAsia="de-DE"/>
        </w:rPr>
        <w:t xml:space="preserve">thematik lehren, Heft 148, </w:t>
      </w:r>
      <w:r w:rsidR="00C6681B">
        <w:rPr>
          <w:rFonts w:ascii="Calibri" w:eastAsia="Times New Roman" w:hAnsi="Calibri" w:cs="Times New Roman"/>
          <w:color w:val="000000" w:themeColor="text1"/>
          <w:lang w:eastAsia="de-DE"/>
        </w:rPr>
        <w:br/>
        <w:t>S. 4</w:t>
      </w:r>
      <w:r w:rsidR="00C6681B">
        <w:rPr>
          <w:rFonts w:ascii="Calibri" w:eastAsia="Times New Roman" w:hAnsi="Calibri" w:cs="Times New Roman"/>
          <w:color w:val="000000" w:themeColor="text1"/>
          <w:lang w:eastAsia="de-DE"/>
        </w:rPr>
        <w:softHyphen/>
        <w:t>–</w:t>
      </w:r>
      <w:r w:rsidRPr="0036696F">
        <w:rPr>
          <w:rFonts w:ascii="Calibri" w:eastAsia="Times New Roman" w:hAnsi="Calibri" w:cs="Times New Roman"/>
          <w:color w:val="000000" w:themeColor="text1"/>
          <w:lang w:eastAsia="de-DE"/>
        </w:rPr>
        <w:t>11.</w:t>
      </w:r>
    </w:p>
    <w:p w14:paraId="37573041" w14:textId="77777777" w:rsidR="007216D9" w:rsidRPr="0036696F" w:rsidRDefault="007216D9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6E2F47F" w14:textId="35CA1135" w:rsidR="007216D9" w:rsidRDefault="007216D9" w:rsidP="00481B4C">
      <w:pPr>
        <w:rPr>
          <w:rFonts w:ascii="Calibri" w:hAnsi="Calibri" w:cs="Times New Roman"/>
          <w:color w:val="000000" w:themeColor="text1"/>
          <w:lang w:eastAsia="de-DE"/>
        </w:rPr>
      </w:pPr>
      <w:r w:rsidRPr="00E85829">
        <w:rPr>
          <w:rFonts w:ascii="Calibri" w:hAnsi="Calibri" w:cs="Times New Roman"/>
          <w:color w:val="000000" w:themeColor="text1"/>
          <w:lang w:val="en-US" w:eastAsia="de-DE"/>
        </w:rPr>
        <w:t xml:space="preserve">Duval, R. (2006). A cognitive analysis of problems of comprehension in a learning of mathematics. </w:t>
      </w:r>
      <w:r w:rsidRPr="007216D9">
        <w:rPr>
          <w:rFonts w:ascii="Calibri" w:hAnsi="Calibri" w:cs="Times New Roman"/>
          <w:i/>
          <w:iCs/>
          <w:color w:val="000000" w:themeColor="text1"/>
          <w:lang w:eastAsia="de-DE"/>
        </w:rPr>
        <w:t xml:space="preserve">Educational Studies in Mathematics, </w:t>
      </w:r>
      <w:r w:rsidR="00AF2072" w:rsidRPr="002F0239">
        <w:rPr>
          <w:rFonts w:ascii="Calibri" w:hAnsi="Calibri" w:cs="Times New Roman"/>
          <w:color w:val="000000" w:themeColor="text1"/>
          <w:lang w:eastAsia="de-DE"/>
        </w:rPr>
        <w:t>61(1–2), 103–</w:t>
      </w:r>
      <w:r w:rsidRPr="007216D9">
        <w:rPr>
          <w:rFonts w:ascii="Calibri" w:hAnsi="Calibri" w:cs="Times New Roman"/>
          <w:color w:val="000000" w:themeColor="text1"/>
          <w:lang w:eastAsia="de-DE"/>
        </w:rPr>
        <w:t>131.</w:t>
      </w:r>
    </w:p>
    <w:p w14:paraId="3968C988" w14:textId="77777777" w:rsidR="009970E7" w:rsidRDefault="009970E7" w:rsidP="009970E7">
      <w:pPr>
        <w:rPr>
          <w:rFonts w:ascii="Lucida Grande" w:eastAsia="Times New Roman" w:hAnsi="Lucida Grande" w:cs="Lucida Grande"/>
          <w:color w:val="333333"/>
          <w:sz w:val="17"/>
          <w:szCs w:val="17"/>
          <w:shd w:val="clear" w:color="auto" w:fill="FFFFFF"/>
          <w:lang w:eastAsia="de-DE"/>
        </w:rPr>
      </w:pPr>
    </w:p>
    <w:p w14:paraId="1CBA7D62" w14:textId="77777777" w:rsidR="009970E7" w:rsidRPr="009970E7" w:rsidRDefault="009970E7" w:rsidP="009970E7">
      <w:pPr>
        <w:rPr>
          <w:rFonts w:ascii="Calibri" w:hAnsi="Calibri" w:cs="Times New Roman"/>
          <w:color w:val="000000" w:themeColor="text1"/>
          <w:lang w:val="en-US" w:eastAsia="de-DE"/>
        </w:rPr>
      </w:pPr>
      <w:r w:rsidRPr="009970E7">
        <w:rPr>
          <w:rFonts w:ascii="Calibri" w:hAnsi="Calibri" w:cs="Times New Roman"/>
          <w:color w:val="000000" w:themeColor="text1"/>
          <w:lang w:val="en-US" w:eastAsia="de-DE"/>
        </w:rPr>
        <w:t>Ganter, S. (2013). Experimentieren – ein Weg zum Funktionalen Denken: Empirische Untersuchung zur Wirkung von Schülerexperimenten. Hamburg: Dr. Kovac.</w:t>
      </w:r>
    </w:p>
    <w:p w14:paraId="273AB9DB" w14:textId="77777777" w:rsidR="001536C7" w:rsidRPr="009970E7" w:rsidRDefault="001536C7" w:rsidP="00481B4C">
      <w:pPr>
        <w:rPr>
          <w:rFonts w:ascii="Calibri" w:hAnsi="Calibri" w:cs="Times New Roman"/>
          <w:color w:val="000000" w:themeColor="text1"/>
          <w:lang w:val="en-US" w:eastAsia="de-DE"/>
        </w:rPr>
      </w:pPr>
    </w:p>
    <w:p w14:paraId="11B49B8A" w14:textId="6690F436" w:rsidR="00147FAE" w:rsidRPr="002F0239" w:rsidRDefault="00147FAE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Greefrath, </w:t>
      </w:r>
      <w:r w:rsidR="00343BAE" w:rsidRPr="002F0239">
        <w:rPr>
          <w:rFonts w:ascii="Calibri" w:eastAsia="Times New Roman" w:hAnsi="Calibri" w:cs="Times New Roman"/>
          <w:color w:val="000000" w:themeColor="text1"/>
          <w:lang w:eastAsia="de-DE"/>
        </w:rPr>
        <w:t>G.,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 Leuders, </w:t>
      </w:r>
      <w:r w:rsidR="00343BAE" w:rsidRPr="002F0239">
        <w:rPr>
          <w:rFonts w:ascii="Calibri" w:eastAsia="Times New Roman" w:hAnsi="Calibri" w:cs="Times New Roman"/>
          <w:color w:val="000000" w:themeColor="text1"/>
          <w:lang w:eastAsia="de-DE"/>
        </w:rPr>
        <w:t>T.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 &amp; Pallack, </w:t>
      </w:r>
      <w:r w:rsidR="00343BAE" w:rsidRPr="002F0239">
        <w:rPr>
          <w:rFonts w:ascii="Calibri" w:eastAsia="Times New Roman" w:hAnsi="Calibri" w:cs="Times New Roman"/>
          <w:color w:val="000000" w:themeColor="text1"/>
          <w:lang w:eastAsia="de-DE"/>
        </w:rPr>
        <w:t>A.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 (2008) Gute Abituraufgaben – (ob) </w:t>
      </w:r>
      <w:r w:rsidR="00343BAE" w:rsidRPr="002F0239">
        <w:rPr>
          <w:rFonts w:ascii="Calibri" w:eastAsia="Times New Roman" w:hAnsi="Calibri" w:cs="Times New Roman"/>
          <w:color w:val="000000" w:themeColor="text1"/>
          <w:lang w:eastAsia="de-DE"/>
        </w:rPr>
        <w:t>mit oder ohne Neue Medien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. Der mathematisch-na</w:t>
      </w:r>
      <w:r w:rsidR="00343BAE" w:rsidRPr="002F0239">
        <w:rPr>
          <w:rFonts w:ascii="Calibri" w:eastAsia="Times New Roman" w:hAnsi="Calibri" w:cs="Times New Roman"/>
          <w:color w:val="000000" w:themeColor="text1"/>
          <w:lang w:eastAsia="de-DE"/>
        </w:rPr>
        <w:t>turwissenschaftliche Unterricht, 61(2), 79–</w:t>
      </w: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83.</w:t>
      </w:r>
    </w:p>
    <w:p w14:paraId="58BFBD58" w14:textId="77777777" w:rsidR="00147FAE" w:rsidRPr="002F0239" w:rsidRDefault="00147FAE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DD33D26" w14:textId="3AB30F29" w:rsidR="003E218F" w:rsidRPr="003E218F" w:rsidRDefault="003E218F" w:rsidP="003E218F">
      <w:pPr>
        <w:pStyle w:val="References"/>
        <w:spacing w:line="240" w:lineRule="auto"/>
        <w:rPr>
          <w:rFonts w:ascii="Calibri" w:hAnsi="Calibri"/>
          <w:color w:val="000000" w:themeColor="text1"/>
          <w:szCs w:val="24"/>
          <w:lang w:val="de-DE" w:eastAsia="de-DE"/>
        </w:rPr>
      </w:pPr>
      <w:r w:rsidRPr="003E218F">
        <w:rPr>
          <w:rFonts w:ascii="Calibri" w:hAnsi="Calibri"/>
          <w:color w:val="000000" w:themeColor="text1"/>
          <w:szCs w:val="24"/>
          <w:lang w:val="de-DE" w:eastAsia="de-DE"/>
        </w:rPr>
        <w:t xml:space="preserve">Heid, M. K., Thomas, M., &amp; Zbiek, R. M. (2013). </w:t>
      </w:r>
      <w:r w:rsidRPr="003E218F">
        <w:rPr>
          <w:rFonts w:ascii="Calibri" w:hAnsi="Calibri"/>
          <w:color w:val="000000" w:themeColor="text1"/>
          <w:szCs w:val="24"/>
          <w:lang w:val="en-US" w:eastAsia="de-DE"/>
        </w:rPr>
        <w:t>How might computer algebra systems change</w:t>
      </w:r>
      <w:r>
        <w:rPr>
          <w:rFonts w:ascii="Calibri" w:hAnsi="Calibri"/>
          <w:color w:val="000000" w:themeColor="text1"/>
          <w:szCs w:val="24"/>
          <w:lang w:val="en-US" w:eastAsia="de-DE"/>
        </w:rPr>
        <w:t xml:space="preserve"> </w:t>
      </w:r>
      <w:r w:rsidRPr="003E218F">
        <w:rPr>
          <w:rFonts w:ascii="Calibri" w:hAnsi="Calibri"/>
          <w:color w:val="000000" w:themeColor="text1"/>
          <w:szCs w:val="24"/>
          <w:lang w:val="en-US" w:eastAsia="de-DE"/>
        </w:rPr>
        <w:t xml:space="preserve">the role of algebra in the school curriculum? </w:t>
      </w:r>
      <w:r w:rsidRPr="003E218F">
        <w:rPr>
          <w:rFonts w:ascii="Calibri" w:hAnsi="Calibri"/>
          <w:color w:val="000000" w:themeColor="text1"/>
          <w:szCs w:val="24"/>
          <w:lang w:val="de-DE" w:eastAsia="de-DE"/>
        </w:rPr>
        <w:t>In M. A. Clements, A. Bishop, C. Ke</w:t>
      </w:r>
      <w:r>
        <w:rPr>
          <w:rFonts w:ascii="Calibri" w:hAnsi="Calibri"/>
          <w:color w:val="000000" w:themeColor="text1"/>
          <w:szCs w:val="24"/>
          <w:lang w:val="de-DE" w:eastAsia="de-DE"/>
        </w:rPr>
        <w:t xml:space="preserve">itel, J. </w:t>
      </w:r>
      <w:r w:rsidRPr="003E218F">
        <w:rPr>
          <w:rFonts w:ascii="Calibri" w:hAnsi="Calibri"/>
          <w:color w:val="000000" w:themeColor="text1"/>
          <w:szCs w:val="24"/>
          <w:lang w:val="de-DE" w:eastAsia="de-DE"/>
        </w:rPr>
        <w:t>Kilpatrick, &amp; F. Leung</w:t>
      </w:r>
    </w:p>
    <w:p w14:paraId="12F8D490" w14:textId="284A9BDE" w:rsidR="001536C7" w:rsidRPr="00481B4C" w:rsidRDefault="001536C7" w:rsidP="00481B4C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Henn, H.-W. (2004). Computer-Algebra-Systeme – junger Wein oder neue Schläuche? Journal für Mathematik-Didaktik, 25(3–4), 198–220.</w:t>
      </w:r>
    </w:p>
    <w:p w14:paraId="74F0F707" w14:textId="77777777" w:rsidR="00481B4C" w:rsidRPr="002F0239" w:rsidRDefault="00481B4C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1F0BC8D" w14:textId="4C0037A0" w:rsidR="009F7552" w:rsidRPr="002F0239" w:rsidRDefault="009F7552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Hußmann, S. (2003). Mathematik entdecken und erforschen. </w:t>
      </w:r>
      <w:r w:rsidR="00DF61C0" w:rsidRPr="002F0239">
        <w:rPr>
          <w:rFonts w:ascii="Calibri" w:eastAsia="Times New Roman" w:hAnsi="Calibri" w:cs="Times New Roman"/>
          <w:color w:val="000000" w:themeColor="text1"/>
          <w:lang w:eastAsia="de-DE"/>
        </w:rPr>
        <w:t>Berlin: Cornelsen.</w:t>
      </w:r>
    </w:p>
    <w:p w14:paraId="79F1A12C" w14:textId="77777777" w:rsidR="000F183C" w:rsidRPr="002F0239" w:rsidRDefault="000F183C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EFE7DE7" w14:textId="2659E736" w:rsidR="008B482C" w:rsidRPr="002F0239" w:rsidRDefault="000F183C" w:rsidP="00A71367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Ingelmann, M. (2009). Evaluation eines Unterrichtskonzepts für einen CAS-gestützten Mathematikunterricht in der Sekundarstufe I. Berlin: Logos.</w:t>
      </w:r>
    </w:p>
    <w:p w14:paraId="7430E10E" w14:textId="77777777" w:rsidR="008B482C" w:rsidRPr="002F0239" w:rsidRDefault="008B482C" w:rsidP="008B482C">
      <w:pPr>
        <w:tabs>
          <w:tab w:val="left" w:pos="1823"/>
        </w:tabs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1CA6ADAE" w14:textId="2957F15D" w:rsidR="00235E73" w:rsidRPr="002F0239" w:rsidRDefault="003E218F" w:rsidP="00235E73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>
        <w:rPr>
          <w:rFonts w:ascii="Calibri" w:eastAsia="Times New Roman" w:hAnsi="Calibri" w:cs="Times New Roman"/>
          <w:color w:val="000000" w:themeColor="text1"/>
          <w:lang w:val="en-US" w:eastAsia="de-DE"/>
        </w:rPr>
        <w:t xml:space="preserve">Kieran, C. &amp; </w:t>
      </w:r>
      <w:r w:rsidR="00235E73"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Yerushalmy, M. (2004). Research on the role of technological environments in algebra learning and teaching. In K. Stacey, H. Chick and M. Kendal (</w:t>
      </w:r>
      <w:r w:rsidR="00BE3975"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 xml:space="preserve">Hrsg.), The future of the teaching and learning of algebra: The 12th ICMI study (S. 95–152). </w:t>
      </w:r>
      <w:r w:rsidR="00BE3975" w:rsidRPr="002F0239">
        <w:rPr>
          <w:rFonts w:ascii="Calibri" w:eastAsia="Times New Roman" w:hAnsi="Calibri" w:cs="Times New Roman"/>
          <w:color w:val="000000" w:themeColor="text1"/>
          <w:lang w:eastAsia="de-DE"/>
        </w:rPr>
        <w:t>Dordrecht: Kluwer.</w:t>
      </w:r>
    </w:p>
    <w:p w14:paraId="7772BCC6" w14:textId="77777777" w:rsidR="005513BD" w:rsidRPr="002F0239" w:rsidRDefault="005513BD" w:rsidP="00235E73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07C0EA33" w14:textId="7E0822A6" w:rsidR="005513BD" w:rsidRPr="002F0239" w:rsidRDefault="005513BD" w:rsidP="005513BD">
      <w:pPr>
        <w:pStyle w:val="p1"/>
        <w:rPr>
          <w:rFonts w:ascii="Calibri" w:hAnsi="Calibri"/>
          <w:color w:val="000000" w:themeColor="text1"/>
          <w:sz w:val="24"/>
          <w:szCs w:val="24"/>
        </w:rPr>
      </w:pPr>
      <w:r w:rsidRPr="002F0239">
        <w:rPr>
          <w:rFonts w:ascii="Calibri" w:hAnsi="Calibri"/>
          <w:color w:val="000000" w:themeColor="text1"/>
          <w:sz w:val="24"/>
          <w:szCs w:val="24"/>
        </w:rPr>
        <w:t>Klinger, M. (2017): Funktionales Denken beim Übergang von der Funktionenlehre zur Analysis: Entwicklung eines Testinstruments und empirische Befunde aus der gymnasialen Oberstufe. Wiesbaden: Springer Spektrum.</w:t>
      </w:r>
    </w:p>
    <w:p w14:paraId="77B16511" w14:textId="77777777" w:rsidR="006078F4" w:rsidRPr="002F0239" w:rsidRDefault="006078F4" w:rsidP="00235E73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6B7F3B6D" w14:textId="72FBB01B" w:rsidR="006078F4" w:rsidRPr="00E85829" w:rsidRDefault="006078F4" w:rsidP="00235E73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Laakmann, H. (2013). Darstellungen und Darstellungswechsel als Mittel zur Begriff</w:t>
      </w:r>
      <w:r w:rsidR="005B75F8">
        <w:rPr>
          <w:rFonts w:ascii="Calibri" w:eastAsia="Times New Roman" w:hAnsi="Calibri" w:cs="Times New Roman"/>
          <w:color w:val="000000" w:themeColor="text1"/>
          <w:lang w:eastAsia="de-DE"/>
        </w:rPr>
        <w:t>sbildung: Eine Untersuchung in R</w:t>
      </w:r>
      <w:bookmarkStart w:id="0" w:name="_GoBack"/>
      <w:bookmarkEnd w:id="0"/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 xml:space="preserve">echner-unterstützten Lernumgebungen. </w:t>
      </w: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Wiesbaden: Springer Spektrum.</w:t>
      </w:r>
    </w:p>
    <w:p w14:paraId="40384D29" w14:textId="77777777" w:rsidR="00FC3465" w:rsidRPr="00E85829" w:rsidRDefault="00FC3465" w:rsidP="00235E73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</w:p>
    <w:p w14:paraId="2BB538C1" w14:textId="6F14A50B" w:rsidR="00FC3465" w:rsidRPr="00FC3465" w:rsidRDefault="008F2AA2" w:rsidP="00FC3465">
      <w:pPr>
        <w:rPr>
          <w:rFonts w:ascii="Calibri" w:hAnsi="Calibri" w:cs="Times New Roman"/>
          <w:color w:val="000000" w:themeColor="text1"/>
          <w:lang w:eastAsia="de-DE"/>
        </w:rPr>
      </w:pPr>
      <w:r w:rsidRPr="00E85829">
        <w:rPr>
          <w:rFonts w:ascii="Calibri" w:hAnsi="Calibri" w:cs="Times New Roman"/>
          <w:color w:val="000000" w:themeColor="text1"/>
          <w:lang w:val="en-US" w:eastAsia="de-DE"/>
        </w:rPr>
        <w:t>Lagra</w:t>
      </w:r>
      <w:r w:rsidR="00807FE0" w:rsidRPr="00E85829">
        <w:rPr>
          <w:rFonts w:ascii="Calibri" w:hAnsi="Calibri" w:cs="Times New Roman"/>
          <w:color w:val="000000" w:themeColor="text1"/>
          <w:lang w:val="en-US" w:eastAsia="de-DE"/>
        </w:rPr>
        <w:t>nge, J.-B. (2003): Learning techniques and concepts using CAS: A practical and theoretical reflection. In J.</w:t>
      </w:r>
      <w:r w:rsidR="00FC3465" w:rsidRPr="00E85829">
        <w:rPr>
          <w:rFonts w:ascii="Calibri" w:hAnsi="Calibri" w:cs="Times New Roman"/>
          <w:color w:val="000000" w:themeColor="text1"/>
          <w:lang w:val="en-US" w:eastAsia="de-DE"/>
        </w:rPr>
        <w:t xml:space="preserve"> T. F</w:t>
      </w:r>
      <w:r w:rsidR="00807FE0" w:rsidRPr="00E85829">
        <w:rPr>
          <w:rFonts w:ascii="Calibri" w:hAnsi="Calibri" w:cs="Times New Roman"/>
          <w:color w:val="000000" w:themeColor="text1"/>
          <w:lang w:val="en-US" w:eastAsia="de-DE"/>
        </w:rPr>
        <w:t>ey, A. Cuoco, C. Kieran, L. McMullin &amp; R. M.</w:t>
      </w:r>
      <w:r w:rsidR="00FC3465" w:rsidRPr="00E85829">
        <w:rPr>
          <w:rFonts w:ascii="Calibri" w:hAnsi="Calibri" w:cs="Times New Roman"/>
          <w:color w:val="000000" w:themeColor="text1"/>
          <w:lang w:val="en-US" w:eastAsia="de-DE"/>
        </w:rPr>
        <w:t xml:space="preserve"> Zbiek (H</w:t>
      </w:r>
      <w:r w:rsidR="00807FE0" w:rsidRPr="00E85829">
        <w:rPr>
          <w:rFonts w:ascii="Calibri" w:hAnsi="Calibri" w:cs="Times New Roman"/>
          <w:color w:val="000000" w:themeColor="text1"/>
          <w:lang w:val="en-US" w:eastAsia="de-DE"/>
        </w:rPr>
        <w:t>rsg.), Compu</w:t>
      </w:r>
      <w:r w:rsidR="00FC3465" w:rsidRPr="00E85829">
        <w:rPr>
          <w:rFonts w:ascii="Calibri" w:hAnsi="Calibri" w:cs="Times New Roman"/>
          <w:color w:val="000000" w:themeColor="text1"/>
          <w:lang w:val="en-US" w:eastAsia="de-DE"/>
        </w:rPr>
        <w:t>ter algebra systems in secondary school</w:t>
      </w:r>
      <w:r w:rsidR="00807FE0" w:rsidRPr="00E85829">
        <w:rPr>
          <w:rFonts w:ascii="Calibri" w:hAnsi="Calibri" w:cs="Times New Roman"/>
          <w:color w:val="000000" w:themeColor="text1"/>
          <w:lang w:val="en-US" w:eastAsia="de-DE"/>
        </w:rPr>
        <w:t xml:space="preserve"> mathematics education (S. 269–285). </w:t>
      </w:r>
      <w:r w:rsidR="00807FE0" w:rsidRPr="002F0239">
        <w:rPr>
          <w:rFonts w:ascii="Calibri" w:hAnsi="Calibri" w:cs="Times New Roman"/>
          <w:color w:val="000000" w:themeColor="text1"/>
          <w:lang w:eastAsia="de-DE"/>
        </w:rPr>
        <w:t>Reston</w:t>
      </w:r>
      <w:r w:rsidR="00FC3465" w:rsidRPr="002F0239">
        <w:rPr>
          <w:rFonts w:ascii="Calibri" w:hAnsi="Calibri" w:cs="Times New Roman"/>
          <w:color w:val="000000" w:themeColor="text1"/>
          <w:lang w:eastAsia="de-DE"/>
        </w:rPr>
        <w:t xml:space="preserve">: </w:t>
      </w:r>
      <w:r w:rsidR="00FC3465" w:rsidRPr="00FC3465">
        <w:rPr>
          <w:rFonts w:ascii="Calibri" w:hAnsi="Calibri" w:cs="Times New Roman"/>
          <w:color w:val="000000" w:themeColor="text1"/>
          <w:lang w:eastAsia="de-DE"/>
        </w:rPr>
        <w:t>National Coun</w:t>
      </w:r>
      <w:r w:rsidR="00807FE0" w:rsidRPr="002F0239">
        <w:rPr>
          <w:rFonts w:ascii="Calibri" w:hAnsi="Calibri" w:cs="Times New Roman"/>
          <w:color w:val="000000" w:themeColor="text1"/>
          <w:lang w:eastAsia="de-DE"/>
        </w:rPr>
        <w:t>cil of Teachers of Mathematics</w:t>
      </w:r>
      <w:r w:rsidR="00FC3465" w:rsidRPr="00FC3465">
        <w:rPr>
          <w:rFonts w:ascii="Calibri" w:hAnsi="Calibri" w:cs="Times New Roman"/>
          <w:color w:val="000000" w:themeColor="text1"/>
          <w:lang w:eastAsia="de-DE"/>
        </w:rPr>
        <w:t>.</w:t>
      </w:r>
    </w:p>
    <w:p w14:paraId="1C91DAA2" w14:textId="77777777" w:rsidR="00235E73" w:rsidRPr="002F0239" w:rsidRDefault="00235E73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599572E6" w14:textId="50A64091" w:rsidR="00555A92" w:rsidRPr="002F0239" w:rsidRDefault="00555A92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Malle, G. (2000). Zwei Aspekte von Funktionen: Zuordnung und Kovariation. Mathematik Lehren, Heft 103, 8–11.</w:t>
      </w:r>
    </w:p>
    <w:p w14:paraId="3492E83E" w14:textId="77777777" w:rsidR="006B6C9A" w:rsidRPr="002F0239" w:rsidRDefault="006B6C9A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02E46B8B" w14:textId="785D6DA0" w:rsidR="006B6C9A" w:rsidRPr="002F0239" w:rsidRDefault="006B6C9A" w:rsidP="00AE1D91">
      <w:pPr>
        <w:rPr>
          <w:rFonts w:ascii="Calibri" w:hAnsi="Calibri" w:cs="Times New Roman"/>
          <w:color w:val="000000" w:themeColor="text1"/>
          <w:lang w:eastAsia="de-DE"/>
        </w:rPr>
      </w:pPr>
      <w:r w:rsidRPr="006B6C9A">
        <w:rPr>
          <w:rFonts w:ascii="Calibri" w:hAnsi="Calibri" w:cs="Times New Roman"/>
          <w:color w:val="000000" w:themeColor="text1"/>
          <w:lang w:eastAsia="de-DE"/>
        </w:rPr>
        <w:t>Prediger, S., Barzel, B., Leuders, T., Hußmann, S. (2011).</w:t>
      </w:r>
      <w:r w:rsidR="00704E68" w:rsidRPr="002F0239">
        <w:rPr>
          <w:rFonts w:ascii="Calibri" w:hAnsi="Calibri" w:cs="Times New Roman"/>
          <w:color w:val="000000" w:themeColor="text1"/>
          <w:lang w:eastAsia="de-DE"/>
        </w:rPr>
        <w:t xml:space="preserve"> </w:t>
      </w:r>
      <w:r w:rsidR="00704E68" w:rsidRPr="002F0239">
        <w:rPr>
          <w:rFonts w:ascii="Calibri" w:hAnsi="Calibri" w:cs="Times New Roman"/>
          <w:i/>
          <w:iCs/>
          <w:color w:val="000000" w:themeColor="text1"/>
          <w:lang w:eastAsia="de-DE"/>
        </w:rPr>
        <w:t>Mathematik Lehren</w:t>
      </w:r>
      <w:r w:rsidRPr="006B6C9A">
        <w:rPr>
          <w:rFonts w:ascii="Calibri" w:hAnsi="Calibri" w:cs="Times New Roman"/>
          <w:color w:val="000000" w:themeColor="text1"/>
          <w:lang w:eastAsia="de-DE"/>
        </w:rPr>
        <w:t>, Heft 164, 2–9.</w:t>
      </w:r>
    </w:p>
    <w:p w14:paraId="02598F23" w14:textId="77777777" w:rsidR="00DF01B7" w:rsidRPr="002F0239" w:rsidRDefault="00DF01B7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655CEC8B" w14:textId="77777777" w:rsidR="00DF01B7" w:rsidRPr="002F0239" w:rsidRDefault="00DF01B7" w:rsidP="00DF01B7">
      <w:pPr>
        <w:rPr>
          <w:rFonts w:ascii="Calibri" w:hAnsi="Calibri" w:cs="Times New Roman"/>
          <w:color w:val="000000" w:themeColor="text1"/>
          <w:lang w:eastAsia="de-DE"/>
        </w:rPr>
      </w:pPr>
      <w:r w:rsidRPr="00DF01B7">
        <w:rPr>
          <w:rFonts w:ascii="Calibri" w:hAnsi="Calibri" w:cs="Times New Roman"/>
          <w:color w:val="000000" w:themeColor="text1"/>
          <w:lang w:eastAsia="de-DE"/>
        </w:rPr>
        <w:t xml:space="preserve">Schacht, F. (2016): Und wie schreibe ich das jetzt auf? Zur Dokumentation von Fach- und Werkzeugsprache im Mathematikunterricht. In G. Heintz, &amp; G. Pinkernell &amp; F. Schacht (Hrsg.), </w:t>
      </w:r>
      <w:r w:rsidRPr="00DF01B7">
        <w:rPr>
          <w:rFonts w:ascii="Calibri" w:hAnsi="Calibri" w:cs="Times New Roman"/>
          <w:i/>
          <w:iCs/>
          <w:color w:val="000000" w:themeColor="text1"/>
          <w:lang w:eastAsia="de-DE"/>
        </w:rPr>
        <w:t xml:space="preserve">Digitale Werkzeuge für den Mathematikunterricht: Festschrift für Hans-Jürgen Elschenbroich </w:t>
      </w:r>
      <w:r w:rsidRPr="00DF01B7">
        <w:rPr>
          <w:rFonts w:ascii="Calibri" w:hAnsi="Calibri" w:cs="Times New Roman"/>
          <w:color w:val="000000" w:themeColor="text1"/>
          <w:lang w:eastAsia="de-DE"/>
        </w:rPr>
        <w:t>(S. 243–261). Neuss: Seeberger.</w:t>
      </w:r>
    </w:p>
    <w:p w14:paraId="3D57D484" w14:textId="77777777" w:rsidR="00DF01B7" w:rsidRPr="00DF01B7" w:rsidRDefault="00DF01B7" w:rsidP="00DF01B7">
      <w:pPr>
        <w:rPr>
          <w:rFonts w:ascii="Calibri" w:hAnsi="Calibri" w:cs="Times New Roman"/>
          <w:color w:val="000000" w:themeColor="text1"/>
          <w:lang w:eastAsia="de-DE"/>
        </w:rPr>
      </w:pPr>
    </w:p>
    <w:p w14:paraId="38EB7E44" w14:textId="6CFF5DE5" w:rsidR="00DF01B7" w:rsidRPr="00DF01B7" w:rsidRDefault="00DF01B7" w:rsidP="00DF01B7">
      <w:pPr>
        <w:rPr>
          <w:rFonts w:ascii="Calibri" w:hAnsi="Calibri" w:cs="Times New Roman"/>
          <w:color w:val="000000" w:themeColor="text1"/>
          <w:lang w:eastAsia="de-DE"/>
        </w:rPr>
      </w:pPr>
      <w:r w:rsidRPr="00DF01B7">
        <w:rPr>
          <w:rFonts w:ascii="Calibri" w:hAnsi="Calibri" w:cs="Times New Roman"/>
          <w:color w:val="000000" w:themeColor="text1"/>
          <w:lang w:eastAsia="de-DE"/>
        </w:rPr>
        <w:t>Schac</w:t>
      </w:r>
      <w:r w:rsidR="007301A6" w:rsidRPr="002F0239">
        <w:rPr>
          <w:rFonts w:ascii="Calibri" w:hAnsi="Calibri" w:cs="Times New Roman"/>
          <w:color w:val="000000" w:themeColor="text1"/>
          <w:lang w:eastAsia="de-DE"/>
        </w:rPr>
        <w:t xml:space="preserve">ht, F. (2014): Dokumentation ungleich </w:t>
      </w:r>
      <w:r w:rsidRPr="00DF01B7">
        <w:rPr>
          <w:rFonts w:ascii="Calibri" w:hAnsi="Calibri" w:cs="Times New Roman"/>
          <w:color w:val="000000" w:themeColor="text1"/>
          <w:lang w:eastAsia="de-DE"/>
        </w:rPr>
        <w:t xml:space="preserve">Dokumentation. Funktions- und zielgruppenabhängige Varianten bei Schülerdokumentationen. </w:t>
      </w:r>
      <w:r w:rsidRPr="00DF01B7">
        <w:rPr>
          <w:rFonts w:ascii="Calibri" w:hAnsi="Calibri" w:cs="Times New Roman"/>
          <w:i/>
          <w:iCs/>
          <w:color w:val="000000" w:themeColor="text1"/>
          <w:lang w:eastAsia="de-DE"/>
        </w:rPr>
        <w:t>Praxis der Mathematik in der Schule</w:t>
      </w:r>
      <w:r w:rsidRPr="00DF01B7">
        <w:rPr>
          <w:rFonts w:ascii="Calibri" w:hAnsi="Calibri" w:cs="Times New Roman"/>
          <w:color w:val="000000" w:themeColor="text1"/>
          <w:lang w:eastAsia="de-DE"/>
        </w:rPr>
        <w:t>, 56(60), 34–37.</w:t>
      </w:r>
    </w:p>
    <w:p w14:paraId="5B41B875" w14:textId="77777777" w:rsidR="00481B4C" w:rsidRPr="002F0239" w:rsidRDefault="00481B4C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5DFBCFBE" w14:textId="5F160158" w:rsidR="00AE1D91" w:rsidRPr="00E85829" w:rsidRDefault="00AE1D91" w:rsidP="00AE1D91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  <w:r w:rsidRPr="00AE1D91">
        <w:rPr>
          <w:rFonts w:ascii="Calibri" w:eastAsia="Times New Roman" w:hAnsi="Calibri" w:cs="Times New Roman"/>
          <w:color w:val="000000" w:themeColor="text1"/>
          <w:lang w:eastAsia="de-DE"/>
        </w:rPr>
        <w:t xml:space="preserve">Scherer, P. &amp; Steinbring, H. (2006). </w:t>
      </w: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Noticing children´s learning processes – teachers jointly reflect on their own classroom interaction for improving mathematics teaching. Journal of mathemati</w:t>
      </w:r>
      <w:r w:rsidR="00125528"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cs Teacher Education, 9(2), 157–</w:t>
      </w:r>
      <w:r w:rsidRPr="00E85829">
        <w:rPr>
          <w:rFonts w:ascii="Calibri" w:eastAsia="Times New Roman" w:hAnsi="Calibri" w:cs="Times New Roman"/>
          <w:color w:val="000000" w:themeColor="text1"/>
          <w:lang w:val="en-US" w:eastAsia="de-DE"/>
        </w:rPr>
        <w:t>185.</w:t>
      </w:r>
    </w:p>
    <w:p w14:paraId="066F196A" w14:textId="77777777" w:rsidR="00F4670F" w:rsidRPr="00E85829" w:rsidRDefault="00F4670F" w:rsidP="00AE1D91">
      <w:pPr>
        <w:rPr>
          <w:rFonts w:ascii="Calibri" w:eastAsia="Times New Roman" w:hAnsi="Calibri" w:cs="Times New Roman"/>
          <w:color w:val="000000" w:themeColor="text1"/>
          <w:lang w:val="en-US" w:eastAsia="de-DE"/>
        </w:rPr>
      </w:pPr>
    </w:p>
    <w:p w14:paraId="6F2EB8B1" w14:textId="30C3AF6F" w:rsidR="00F4670F" w:rsidRPr="002F0239" w:rsidRDefault="00F4670F" w:rsidP="00AE1D91">
      <w:pPr>
        <w:rPr>
          <w:rFonts w:ascii="Calibri" w:hAnsi="Calibri" w:cs="Times New Roman"/>
          <w:color w:val="000000" w:themeColor="text1"/>
          <w:lang w:eastAsia="de-DE"/>
        </w:rPr>
      </w:pPr>
      <w:r w:rsidRPr="00E85829">
        <w:rPr>
          <w:rFonts w:ascii="Calibri" w:hAnsi="Calibri" w:cs="Times New Roman"/>
          <w:color w:val="000000" w:themeColor="text1"/>
          <w:lang w:val="en-US" w:eastAsia="de-DE"/>
        </w:rPr>
        <w:t xml:space="preserve">Vollrath, H.-J. (1989). Funktionales Denken. </w:t>
      </w:r>
      <w:r w:rsidRPr="00F4670F">
        <w:rPr>
          <w:rFonts w:ascii="Calibri" w:hAnsi="Calibri" w:cs="Times New Roman"/>
          <w:i/>
          <w:iCs/>
          <w:color w:val="000000" w:themeColor="text1"/>
          <w:lang w:eastAsia="de-DE"/>
        </w:rPr>
        <w:t xml:space="preserve">Journal für Mathematik-Didaktik, </w:t>
      </w:r>
      <w:r w:rsidRPr="00F4670F">
        <w:rPr>
          <w:rFonts w:ascii="Calibri" w:hAnsi="Calibri" w:cs="Times New Roman"/>
          <w:color w:val="000000" w:themeColor="text1"/>
          <w:lang w:eastAsia="de-DE"/>
        </w:rPr>
        <w:t>10(1), 3–37.</w:t>
      </w:r>
    </w:p>
    <w:p w14:paraId="527F9CBB" w14:textId="77777777" w:rsidR="006D144F" w:rsidRPr="002F0239" w:rsidRDefault="006D144F" w:rsidP="00AE1D91">
      <w:pPr>
        <w:rPr>
          <w:rFonts w:ascii="Calibri" w:hAnsi="Calibri" w:cs="Times New Roman"/>
          <w:color w:val="000000" w:themeColor="text1"/>
          <w:lang w:eastAsia="de-DE"/>
        </w:rPr>
      </w:pPr>
    </w:p>
    <w:p w14:paraId="04AC94EB" w14:textId="0A6E00B7" w:rsidR="006D144F" w:rsidRPr="002F0239" w:rsidRDefault="006D144F" w:rsidP="00AE1D91">
      <w:pPr>
        <w:rPr>
          <w:rFonts w:ascii="Calibri" w:hAnsi="Calibri" w:cs="Times New Roman"/>
          <w:color w:val="000000" w:themeColor="text1"/>
          <w:lang w:eastAsia="de-DE"/>
        </w:rPr>
      </w:pPr>
      <w:r w:rsidRPr="006D144F">
        <w:rPr>
          <w:rFonts w:ascii="Calibri" w:hAnsi="Calibri" w:cs="Times New Roman"/>
          <w:color w:val="000000" w:themeColor="text1"/>
          <w:lang w:eastAsia="de-DE"/>
        </w:rPr>
        <w:t xml:space="preserve">vom Hofe, R. (2003). Grundbildung durch Grundvorstellungen. </w:t>
      </w:r>
      <w:r w:rsidR="00125528" w:rsidRPr="002F0239">
        <w:rPr>
          <w:rFonts w:ascii="Calibri" w:hAnsi="Calibri" w:cs="Times New Roman"/>
          <w:i/>
          <w:iCs/>
          <w:color w:val="000000" w:themeColor="text1"/>
          <w:lang w:eastAsia="de-DE"/>
        </w:rPr>
        <w:t>Mathematik L</w:t>
      </w:r>
      <w:r w:rsidRPr="006D144F">
        <w:rPr>
          <w:rFonts w:ascii="Calibri" w:hAnsi="Calibri" w:cs="Times New Roman"/>
          <w:i/>
          <w:iCs/>
          <w:color w:val="000000" w:themeColor="text1"/>
          <w:lang w:eastAsia="de-DE"/>
        </w:rPr>
        <w:t xml:space="preserve">ehren, </w:t>
      </w:r>
      <w:r w:rsidRPr="006D144F">
        <w:rPr>
          <w:rFonts w:ascii="Calibri" w:hAnsi="Calibri" w:cs="Times New Roman"/>
          <w:color w:val="000000" w:themeColor="text1"/>
          <w:lang w:eastAsia="de-DE"/>
        </w:rPr>
        <w:t>Heft 118, 4–8.</w:t>
      </w:r>
    </w:p>
    <w:p w14:paraId="6B92A321" w14:textId="77777777" w:rsidR="007562DC" w:rsidRPr="002F0239" w:rsidRDefault="007562DC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39919D1" w14:textId="69055F8E" w:rsidR="00DC6F9A" w:rsidRPr="002F0239" w:rsidRDefault="00DC6F9A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Weigand, H.-G. (2006). Der Einsatz eines Taschencomputers in der 10. Jahrgangsstufe: Evaluation eines einjährigen Schulversuchs. Journal für Mathematik-Didaktik, 27(2), 89–112.</w:t>
      </w:r>
    </w:p>
    <w:p w14:paraId="43802D6F" w14:textId="77777777" w:rsidR="00DC6F9A" w:rsidRPr="002F0239" w:rsidRDefault="00DC6F9A" w:rsidP="00AE1D91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2DF8FAE2" w14:textId="62073067" w:rsidR="00933505" w:rsidRPr="00933505" w:rsidRDefault="00933505" w:rsidP="00933505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933505">
        <w:rPr>
          <w:rFonts w:ascii="Calibri" w:eastAsia="Times New Roman" w:hAnsi="Calibri" w:cs="Times New Roman"/>
          <w:color w:val="000000" w:themeColor="text1"/>
          <w:lang w:eastAsia="de-DE"/>
        </w:rPr>
        <w:t>Weigand, H.-G. (2012). Fünf Thesen zum Einsatz digitaler Technologien im zukünftigen Mathematikunterricht. In: Blum. W., Borromeo Ferri, R., Maaß K. (Hrsg.). Mathematikunterricht im Kontext von Realität, Kultur und Lehrerprofessionalität. Sp</w:t>
      </w:r>
      <w:r>
        <w:rPr>
          <w:rFonts w:ascii="Calibri" w:eastAsia="Times New Roman" w:hAnsi="Calibri" w:cs="Times New Roman"/>
          <w:color w:val="000000" w:themeColor="text1"/>
          <w:lang w:eastAsia="de-DE"/>
        </w:rPr>
        <w:t>ringer Spektrum: Wiesbaden 2012,</w:t>
      </w:r>
      <w:r w:rsidRPr="00933505">
        <w:rPr>
          <w:rFonts w:ascii="Calibri" w:eastAsia="Times New Roman" w:hAnsi="Calibri" w:cs="Times New Roman"/>
          <w:color w:val="000000" w:themeColor="text1"/>
          <w:lang w:eastAsia="de-DE"/>
        </w:rPr>
        <w:t xml:space="preserve"> 315–324</w:t>
      </w:r>
      <w:r>
        <w:rPr>
          <w:rFonts w:ascii="Calibri" w:eastAsia="Times New Roman" w:hAnsi="Calibri" w:cs="Times New Roman"/>
          <w:color w:val="000000" w:themeColor="text1"/>
          <w:lang w:eastAsia="de-DE"/>
        </w:rPr>
        <w:t>.</w:t>
      </w:r>
    </w:p>
    <w:p w14:paraId="43BD7C4E" w14:textId="77777777" w:rsidR="00933505" w:rsidRDefault="00933505" w:rsidP="00933505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300E58F9" w14:textId="77777777" w:rsidR="00933505" w:rsidRDefault="007562DC" w:rsidP="00933505">
      <w:pPr>
        <w:rPr>
          <w:rFonts w:ascii="Calibri" w:eastAsia="Times New Roman" w:hAnsi="Calibri" w:cs="Times New Roman"/>
          <w:color w:val="000000" w:themeColor="text1"/>
          <w:lang w:eastAsia="de-DE"/>
        </w:rPr>
      </w:pPr>
      <w:r w:rsidRPr="002F0239">
        <w:rPr>
          <w:rFonts w:ascii="Calibri" w:eastAsia="Times New Roman" w:hAnsi="Calibri" w:cs="Times New Roman"/>
          <w:color w:val="000000" w:themeColor="text1"/>
          <w:lang w:eastAsia="de-DE"/>
        </w:rPr>
        <w:t>Weigand, H.-G.  &amp; Weth, T. (2002). Computer im Mathematikunterricht: Neue Wege zu alten Zielen. Heidelberg: Spektrum.</w:t>
      </w:r>
    </w:p>
    <w:p w14:paraId="6655EB79" w14:textId="77777777" w:rsidR="00933505" w:rsidRDefault="00933505" w:rsidP="00933505">
      <w:pPr>
        <w:rPr>
          <w:rFonts w:ascii="Calibri" w:eastAsia="Times New Roman" w:hAnsi="Calibri" w:cs="Times New Roman"/>
          <w:color w:val="000000" w:themeColor="text1"/>
          <w:lang w:eastAsia="de-DE"/>
        </w:rPr>
      </w:pPr>
    </w:p>
    <w:p w14:paraId="567612A3" w14:textId="77777777" w:rsidR="003917CA" w:rsidRPr="002F0239" w:rsidRDefault="005B75F8">
      <w:pPr>
        <w:rPr>
          <w:rFonts w:ascii="Calibri" w:hAnsi="Calibri"/>
          <w:color w:val="000000" w:themeColor="text1"/>
        </w:rPr>
      </w:pPr>
    </w:p>
    <w:p w14:paraId="7303D435" w14:textId="77777777" w:rsidR="00481B4C" w:rsidRPr="002F0239" w:rsidRDefault="00481B4C">
      <w:pPr>
        <w:rPr>
          <w:rFonts w:ascii="Calibri" w:hAnsi="Calibri"/>
          <w:color w:val="000000" w:themeColor="text1"/>
        </w:rPr>
      </w:pPr>
    </w:p>
    <w:sectPr w:rsidR="00481B4C" w:rsidRPr="002F0239" w:rsidSect="001448B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URW Palladio L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C639D"/>
    <w:multiLevelType w:val="multilevel"/>
    <w:tmpl w:val="8214BDEC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2D5"/>
    <w:rsid w:val="000F183C"/>
    <w:rsid w:val="00125528"/>
    <w:rsid w:val="001448B1"/>
    <w:rsid w:val="00147FAE"/>
    <w:rsid w:val="001536C7"/>
    <w:rsid w:val="00176A2E"/>
    <w:rsid w:val="00214BA2"/>
    <w:rsid w:val="00235E73"/>
    <w:rsid w:val="002F0239"/>
    <w:rsid w:val="00313AF9"/>
    <w:rsid w:val="00343BAE"/>
    <w:rsid w:val="0036696F"/>
    <w:rsid w:val="003C02D5"/>
    <w:rsid w:val="003E218F"/>
    <w:rsid w:val="00473BB5"/>
    <w:rsid w:val="00481B4C"/>
    <w:rsid w:val="004844B5"/>
    <w:rsid w:val="004C499E"/>
    <w:rsid w:val="004C78ED"/>
    <w:rsid w:val="004F6CB2"/>
    <w:rsid w:val="00506326"/>
    <w:rsid w:val="00532063"/>
    <w:rsid w:val="005513BD"/>
    <w:rsid w:val="00555A92"/>
    <w:rsid w:val="00561F70"/>
    <w:rsid w:val="005B75F8"/>
    <w:rsid w:val="006078F4"/>
    <w:rsid w:val="00613C5B"/>
    <w:rsid w:val="006B6C9A"/>
    <w:rsid w:val="006D144F"/>
    <w:rsid w:val="00704E68"/>
    <w:rsid w:val="007216D9"/>
    <w:rsid w:val="007301A6"/>
    <w:rsid w:val="007562DC"/>
    <w:rsid w:val="007D17CE"/>
    <w:rsid w:val="007D33AC"/>
    <w:rsid w:val="007E4705"/>
    <w:rsid w:val="00807FE0"/>
    <w:rsid w:val="00865AFC"/>
    <w:rsid w:val="008B482C"/>
    <w:rsid w:val="008F2AA2"/>
    <w:rsid w:val="00933505"/>
    <w:rsid w:val="00940CD8"/>
    <w:rsid w:val="00942DD0"/>
    <w:rsid w:val="009970E7"/>
    <w:rsid w:val="009D7800"/>
    <w:rsid w:val="009F7552"/>
    <w:rsid w:val="00A37BEA"/>
    <w:rsid w:val="00A71367"/>
    <w:rsid w:val="00AE1D91"/>
    <w:rsid w:val="00AF2072"/>
    <w:rsid w:val="00B43300"/>
    <w:rsid w:val="00B57209"/>
    <w:rsid w:val="00BE3975"/>
    <w:rsid w:val="00C06210"/>
    <w:rsid w:val="00C53B79"/>
    <w:rsid w:val="00C6681B"/>
    <w:rsid w:val="00DC6F9A"/>
    <w:rsid w:val="00DF01B7"/>
    <w:rsid w:val="00DF0C37"/>
    <w:rsid w:val="00DF48B9"/>
    <w:rsid w:val="00DF61C0"/>
    <w:rsid w:val="00E105FC"/>
    <w:rsid w:val="00E85829"/>
    <w:rsid w:val="00F4670F"/>
    <w:rsid w:val="00FB232F"/>
    <w:rsid w:val="00FC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5275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53B79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rsid w:val="005513BD"/>
    <w:rPr>
      <w:rFonts w:ascii="URW Palladio L" w:hAnsi="URW Palladio L" w:cs="Times New Roman"/>
      <w:color w:val="000000"/>
      <w:sz w:val="12"/>
      <w:szCs w:val="12"/>
      <w:lang w:eastAsia="de-DE"/>
    </w:rPr>
  </w:style>
  <w:style w:type="character" w:customStyle="1" w:styleId="s1">
    <w:name w:val="s1"/>
    <w:basedOn w:val="Absatz-Standardschriftart"/>
    <w:rsid w:val="00FC3465"/>
    <w:rPr>
      <w:rFonts w:ascii="Times" w:hAnsi="Times" w:hint="default"/>
      <w:sz w:val="14"/>
      <w:szCs w:val="14"/>
    </w:rPr>
  </w:style>
  <w:style w:type="character" w:customStyle="1" w:styleId="apple-converted-space">
    <w:name w:val="apple-converted-space"/>
    <w:basedOn w:val="Absatz-Standardschriftart"/>
    <w:rsid w:val="0036696F"/>
  </w:style>
  <w:style w:type="character" w:customStyle="1" w:styleId="berschrift1Zchn">
    <w:name w:val="Überschrift 1 Zchn"/>
    <w:basedOn w:val="Absatz-Standardschriftart"/>
    <w:link w:val="berschrift1"/>
    <w:uiPriority w:val="9"/>
    <w:rsid w:val="00C53B79"/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paragraph" w:customStyle="1" w:styleId="References">
    <w:name w:val="References"/>
    <w:basedOn w:val="Standard"/>
    <w:qFormat/>
    <w:rsid w:val="003E218F"/>
    <w:pPr>
      <w:autoSpaceDE w:val="0"/>
      <w:autoSpaceDN w:val="0"/>
      <w:spacing w:after="120" w:line="280" w:lineRule="atLeast"/>
      <w:ind w:left="142" w:hanging="142"/>
      <w:jc w:val="both"/>
    </w:pPr>
    <w:rPr>
      <w:rFonts w:ascii="Times New Roman" w:eastAsia="Times New Roman" w:hAnsi="Times New Roman" w:cs="Times New Roman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5090</Characters>
  <Application>Microsoft Macintosh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Barzel, B., Hußmann &amp; S., Leuders, T. (2005). Computer, Internet &amp; Co. im Mathem</vt:lpstr>
    </vt:vector>
  </TitlesOfParts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Ein Microsoft Office-Anwender</cp:lastModifiedBy>
  <cp:revision>45</cp:revision>
  <dcterms:created xsi:type="dcterms:W3CDTF">2017-03-23T09:36:00Z</dcterms:created>
  <dcterms:modified xsi:type="dcterms:W3CDTF">2017-06-08T10:15:00Z</dcterms:modified>
</cp:coreProperties>
</file>